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6A" w:rsidRDefault="003D296A" w:rsidP="000A6D17">
      <w:bookmarkStart w:id="0" w:name="_GoBack"/>
      <w:bookmarkEnd w:id="0"/>
      <w:r>
        <w:t>RESULTS-OECM ANALYSIS -CLTORONTO</w:t>
      </w:r>
    </w:p>
    <w:p w:rsidR="000A6D17" w:rsidRDefault="000A6D17" w:rsidP="000A6D17">
      <w:r>
        <w:t>Hi Cathy,</w:t>
      </w:r>
    </w:p>
    <w:p w:rsidR="000A6D17" w:rsidRDefault="000A6D17" w:rsidP="000A6D17"/>
    <w:p w:rsidR="000A6D17" w:rsidRDefault="000A6D17" w:rsidP="000A6D17">
      <w:r>
        <w:t xml:space="preserve">Thank you again for sharing your spend info as a follow-up to our meeting with Flavian, Terry, Heather, myself and others. As per your request to compare your current Staples Corporate Express pricing against OECM’s Staples agreement - It seems I have some good news to share. OECM has completed its analysis of CL Toronto’s Office Products and Paper spend and the results are very promising. Our analysis was done on an “apples to apples” comparison and the results (where </w:t>
      </w:r>
      <w:r>
        <w:rPr>
          <w:b/>
          <w:bCs/>
        </w:rPr>
        <w:t>exact comparisons</w:t>
      </w:r>
      <w:r>
        <w:t xml:space="preserve"> were found) are as follows:</w:t>
      </w:r>
    </w:p>
    <w:p w:rsidR="000A6D17" w:rsidRDefault="000A6D17" w:rsidP="000A6D17"/>
    <w:tbl>
      <w:tblPr>
        <w:tblW w:w="0" w:type="auto"/>
        <w:tblCellMar>
          <w:left w:w="0" w:type="dxa"/>
          <w:right w:w="0" w:type="dxa"/>
        </w:tblCellMar>
        <w:tblLook w:val="04A0" w:firstRow="1" w:lastRow="0" w:firstColumn="1" w:lastColumn="0" w:noHBand="0" w:noVBand="1"/>
      </w:tblPr>
      <w:tblGrid>
        <w:gridCol w:w="2144"/>
        <w:gridCol w:w="1539"/>
        <w:gridCol w:w="1301"/>
        <w:gridCol w:w="1301"/>
        <w:gridCol w:w="1304"/>
        <w:gridCol w:w="1889"/>
      </w:tblGrid>
      <w:tr w:rsidR="000A6D17" w:rsidTr="000A6D17">
        <w:tc>
          <w:tcPr>
            <w:tcW w:w="2402" w:type="dxa"/>
            <w:tcBorders>
              <w:top w:val="single" w:sz="8" w:space="0" w:color="auto"/>
              <w:left w:val="single" w:sz="8" w:space="0" w:color="auto"/>
              <w:bottom w:val="single" w:sz="8" w:space="0" w:color="auto"/>
              <w:right w:val="single" w:sz="8" w:space="0" w:color="auto"/>
            </w:tcBorders>
            <w:shd w:val="clear" w:color="auto" w:fill="0070CD"/>
            <w:tcMar>
              <w:top w:w="0" w:type="dxa"/>
              <w:left w:w="108" w:type="dxa"/>
              <w:bottom w:w="0" w:type="dxa"/>
              <w:right w:w="108" w:type="dxa"/>
            </w:tcMar>
            <w:hideMark/>
          </w:tcPr>
          <w:p w:rsidR="000A6D17" w:rsidRDefault="000A6D17">
            <w:pPr>
              <w:spacing w:line="276" w:lineRule="auto"/>
              <w:jc w:val="center"/>
              <w:rPr>
                <w:rFonts w:ascii="Arial" w:hAnsi="Arial" w:cs="Arial"/>
                <w:b/>
                <w:bCs/>
                <w:color w:val="FFFFFF"/>
                <w:sz w:val="14"/>
                <w:szCs w:val="14"/>
              </w:rPr>
            </w:pPr>
            <w:r>
              <w:rPr>
                <w:rFonts w:ascii="Arial" w:hAnsi="Arial" w:cs="Arial"/>
                <w:b/>
                <w:bCs/>
                <w:color w:val="FFFFFF"/>
                <w:sz w:val="14"/>
                <w:szCs w:val="14"/>
              </w:rPr>
              <w:t>Tab on Worksheet</w:t>
            </w:r>
          </w:p>
        </w:tc>
        <w:tc>
          <w:tcPr>
            <w:tcW w:w="1701" w:type="dxa"/>
            <w:tcBorders>
              <w:top w:val="single" w:sz="8" w:space="0" w:color="auto"/>
              <w:left w:val="nil"/>
              <w:bottom w:val="single" w:sz="8" w:space="0" w:color="auto"/>
              <w:right w:val="single" w:sz="8" w:space="0" w:color="auto"/>
            </w:tcBorders>
            <w:shd w:val="clear" w:color="auto" w:fill="0070CD"/>
            <w:tcMar>
              <w:top w:w="0" w:type="dxa"/>
              <w:left w:w="108" w:type="dxa"/>
              <w:bottom w:w="0" w:type="dxa"/>
              <w:right w:w="108" w:type="dxa"/>
            </w:tcMar>
            <w:hideMark/>
          </w:tcPr>
          <w:p w:rsidR="000A6D17" w:rsidRDefault="000A6D17">
            <w:pPr>
              <w:spacing w:line="276" w:lineRule="auto"/>
              <w:jc w:val="center"/>
              <w:rPr>
                <w:rFonts w:ascii="Arial" w:hAnsi="Arial" w:cs="Arial"/>
                <w:b/>
                <w:bCs/>
                <w:color w:val="FFFFFF"/>
                <w:sz w:val="14"/>
                <w:szCs w:val="14"/>
              </w:rPr>
            </w:pPr>
            <w:r>
              <w:rPr>
                <w:rFonts w:ascii="Arial" w:hAnsi="Arial" w:cs="Arial"/>
                <w:b/>
                <w:bCs/>
                <w:color w:val="FFFFFF"/>
                <w:sz w:val="14"/>
                <w:szCs w:val="14"/>
              </w:rPr>
              <w:t>% of Product Matches</w:t>
            </w:r>
          </w:p>
        </w:tc>
        <w:tc>
          <w:tcPr>
            <w:tcW w:w="1418" w:type="dxa"/>
            <w:tcBorders>
              <w:top w:val="single" w:sz="8" w:space="0" w:color="auto"/>
              <w:left w:val="nil"/>
              <w:bottom w:val="single" w:sz="8" w:space="0" w:color="auto"/>
              <w:right w:val="single" w:sz="8" w:space="0" w:color="auto"/>
            </w:tcBorders>
            <w:shd w:val="clear" w:color="auto" w:fill="0070CD"/>
            <w:tcMar>
              <w:top w:w="0" w:type="dxa"/>
              <w:left w:w="108" w:type="dxa"/>
              <w:bottom w:w="0" w:type="dxa"/>
              <w:right w:w="108" w:type="dxa"/>
            </w:tcMar>
            <w:hideMark/>
          </w:tcPr>
          <w:p w:rsidR="000A6D17" w:rsidRDefault="000A6D17">
            <w:pPr>
              <w:spacing w:line="276" w:lineRule="auto"/>
              <w:jc w:val="center"/>
              <w:rPr>
                <w:rFonts w:ascii="Arial" w:hAnsi="Arial" w:cs="Arial"/>
                <w:b/>
                <w:bCs/>
                <w:color w:val="FFFFFF"/>
                <w:sz w:val="14"/>
                <w:szCs w:val="14"/>
              </w:rPr>
            </w:pPr>
            <w:r>
              <w:rPr>
                <w:rFonts w:ascii="Arial" w:hAnsi="Arial" w:cs="Arial"/>
                <w:b/>
                <w:bCs/>
                <w:color w:val="FFFFFF"/>
                <w:sz w:val="14"/>
                <w:szCs w:val="14"/>
              </w:rPr>
              <w:t>Highest Savings %</w:t>
            </w:r>
          </w:p>
        </w:tc>
        <w:tc>
          <w:tcPr>
            <w:tcW w:w="1418" w:type="dxa"/>
            <w:tcBorders>
              <w:top w:val="single" w:sz="8" w:space="0" w:color="auto"/>
              <w:left w:val="nil"/>
              <w:bottom w:val="single" w:sz="8" w:space="0" w:color="auto"/>
              <w:right w:val="single" w:sz="8" w:space="0" w:color="auto"/>
            </w:tcBorders>
            <w:shd w:val="clear" w:color="auto" w:fill="0070CD"/>
            <w:tcMar>
              <w:top w:w="0" w:type="dxa"/>
              <w:left w:w="108" w:type="dxa"/>
              <w:bottom w:w="0" w:type="dxa"/>
              <w:right w:w="108" w:type="dxa"/>
            </w:tcMar>
            <w:hideMark/>
          </w:tcPr>
          <w:p w:rsidR="000A6D17" w:rsidRDefault="000A6D17">
            <w:pPr>
              <w:spacing w:line="276" w:lineRule="auto"/>
              <w:jc w:val="center"/>
              <w:rPr>
                <w:rFonts w:ascii="Arial" w:hAnsi="Arial" w:cs="Arial"/>
                <w:b/>
                <w:bCs/>
                <w:color w:val="FFFFFF"/>
                <w:sz w:val="14"/>
                <w:szCs w:val="14"/>
              </w:rPr>
            </w:pPr>
            <w:r>
              <w:rPr>
                <w:rFonts w:ascii="Arial" w:hAnsi="Arial" w:cs="Arial"/>
                <w:b/>
                <w:bCs/>
                <w:color w:val="FFFFFF"/>
                <w:sz w:val="14"/>
                <w:szCs w:val="14"/>
              </w:rPr>
              <w:t>Lowest Savings %</w:t>
            </w:r>
          </w:p>
        </w:tc>
        <w:tc>
          <w:tcPr>
            <w:tcW w:w="1418" w:type="dxa"/>
            <w:tcBorders>
              <w:top w:val="single" w:sz="8" w:space="0" w:color="auto"/>
              <w:left w:val="nil"/>
              <w:bottom w:val="single" w:sz="8" w:space="0" w:color="auto"/>
              <w:right w:val="single" w:sz="8" w:space="0" w:color="auto"/>
            </w:tcBorders>
            <w:shd w:val="clear" w:color="auto" w:fill="0070CD"/>
            <w:tcMar>
              <w:top w:w="0" w:type="dxa"/>
              <w:left w:w="108" w:type="dxa"/>
              <w:bottom w:w="0" w:type="dxa"/>
              <w:right w:w="108" w:type="dxa"/>
            </w:tcMar>
            <w:hideMark/>
          </w:tcPr>
          <w:p w:rsidR="000A6D17" w:rsidRDefault="000A6D17">
            <w:pPr>
              <w:spacing w:line="276" w:lineRule="auto"/>
              <w:jc w:val="center"/>
              <w:rPr>
                <w:rFonts w:ascii="Arial" w:hAnsi="Arial" w:cs="Arial"/>
                <w:b/>
                <w:bCs/>
                <w:color w:val="FFFFFF"/>
                <w:sz w:val="14"/>
                <w:szCs w:val="14"/>
              </w:rPr>
            </w:pPr>
            <w:r>
              <w:rPr>
                <w:rFonts w:ascii="Arial" w:hAnsi="Arial" w:cs="Arial"/>
                <w:b/>
                <w:bCs/>
                <w:color w:val="FFFFFF"/>
                <w:sz w:val="14"/>
                <w:szCs w:val="14"/>
              </w:rPr>
              <w:t>Average Savings %</w:t>
            </w:r>
          </w:p>
        </w:tc>
        <w:tc>
          <w:tcPr>
            <w:tcW w:w="2127" w:type="dxa"/>
            <w:tcBorders>
              <w:top w:val="single" w:sz="8" w:space="0" w:color="auto"/>
              <w:left w:val="nil"/>
              <w:bottom w:val="single" w:sz="8" w:space="0" w:color="auto"/>
              <w:right w:val="single" w:sz="8" w:space="0" w:color="auto"/>
            </w:tcBorders>
            <w:shd w:val="clear" w:color="auto" w:fill="0070CD"/>
            <w:hideMark/>
          </w:tcPr>
          <w:p w:rsidR="000A6D17" w:rsidRDefault="000A6D17">
            <w:pPr>
              <w:spacing w:line="276" w:lineRule="auto"/>
              <w:jc w:val="center"/>
              <w:rPr>
                <w:rFonts w:ascii="Arial" w:hAnsi="Arial" w:cs="Arial"/>
                <w:b/>
                <w:bCs/>
                <w:color w:val="FFFFFF"/>
                <w:sz w:val="14"/>
                <w:szCs w:val="14"/>
              </w:rPr>
            </w:pPr>
            <w:r>
              <w:rPr>
                <w:rFonts w:ascii="Arial" w:hAnsi="Arial" w:cs="Arial"/>
                <w:b/>
                <w:bCs/>
                <w:color w:val="FFFFFF"/>
                <w:sz w:val="14"/>
                <w:szCs w:val="14"/>
              </w:rPr>
              <w:t>Savings on exact matches only (based on CLT’s current volumes purchased)</w:t>
            </w:r>
          </w:p>
        </w:tc>
      </w:tr>
      <w:tr w:rsidR="000A6D17" w:rsidTr="000A6D17">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rPr>
                <w:rFonts w:ascii="Arial" w:hAnsi="Arial" w:cs="Arial"/>
                <w:sz w:val="14"/>
                <w:szCs w:val="14"/>
              </w:rPr>
            </w:pPr>
            <w:r>
              <w:rPr>
                <w:rFonts w:ascii="Arial" w:hAnsi="Arial" w:cs="Arial"/>
                <w:sz w:val="14"/>
                <w:szCs w:val="14"/>
              </w:rPr>
              <w:t>Items more than $100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35.9%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35.5%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15.1%</w:t>
            </w:r>
          </w:p>
        </w:tc>
        <w:tc>
          <w:tcPr>
            <w:tcW w:w="2127" w:type="dxa"/>
            <w:tcBorders>
              <w:top w:val="nil"/>
              <w:left w:val="nil"/>
              <w:bottom w:val="single" w:sz="8" w:space="0" w:color="auto"/>
              <w:right w:val="single" w:sz="8" w:space="0" w:color="auto"/>
            </w:tcBorders>
            <w:shd w:val="clear" w:color="auto" w:fill="FFFFFF"/>
            <w:hideMark/>
          </w:tcPr>
          <w:p w:rsidR="000A6D17" w:rsidRDefault="000A6D17">
            <w:pPr>
              <w:spacing w:line="276" w:lineRule="auto"/>
              <w:jc w:val="center"/>
              <w:rPr>
                <w:rFonts w:ascii="Arial" w:hAnsi="Arial" w:cs="Arial"/>
                <w:sz w:val="14"/>
                <w:szCs w:val="14"/>
              </w:rPr>
            </w:pPr>
            <w:r>
              <w:rPr>
                <w:rFonts w:ascii="Arial" w:hAnsi="Arial" w:cs="Arial"/>
                <w:sz w:val="14"/>
                <w:szCs w:val="14"/>
              </w:rPr>
              <w:t>$ 524.19</w:t>
            </w:r>
          </w:p>
        </w:tc>
      </w:tr>
      <w:tr w:rsidR="000A6D17" w:rsidTr="000A6D17">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rPr>
                <w:rFonts w:ascii="Arial" w:hAnsi="Arial" w:cs="Arial"/>
                <w:sz w:val="14"/>
                <w:szCs w:val="14"/>
              </w:rPr>
            </w:pPr>
            <w:r>
              <w:rPr>
                <w:rFonts w:ascii="Arial" w:hAnsi="Arial" w:cs="Arial"/>
                <w:sz w:val="14"/>
                <w:szCs w:val="14"/>
              </w:rPr>
              <w:t>Tech and Toners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70.9%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72.9%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28.7%</w:t>
            </w:r>
          </w:p>
        </w:tc>
        <w:tc>
          <w:tcPr>
            <w:tcW w:w="2127" w:type="dxa"/>
            <w:tcBorders>
              <w:top w:val="nil"/>
              <w:left w:val="nil"/>
              <w:bottom w:val="single" w:sz="8" w:space="0" w:color="auto"/>
              <w:right w:val="single" w:sz="8" w:space="0" w:color="auto"/>
            </w:tcBorders>
            <w:shd w:val="clear" w:color="auto" w:fill="FFFFFF"/>
            <w:hideMark/>
          </w:tcPr>
          <w:p w:rsidR="000A6D17" w:rsidRDefault="000A6D17">
            <w:pPr>
              <w:spacing w:line="276" w:lineRule="auto"/>
              <w:jc w:val="center"/>
              <w:rPr>
                <w:rFonts w:ascii="Arial" w:hAnsi="Arial" w:cs="Arial"/>
                <w:sz w:val="14"/>
                <w:szCs w:val="14"/>
              </w:rPr>
            </w:pPr>
            <w:r>
              <w:rPr>
                <w:rFonts w:ascii="Arial" w:hAnsi="Arial" w:cs="Arial"/>
                <w:sz w:val="14"/>
                <w:szCs w:val="14"/>
              </w:rPr>
              <w:t>$ 1799.99</w:t>
            </w:r>
          </w:p>
        </w:tc>
      </w:tr>
      <w:tr w:rsidR="000A6D17" w:rsidTr="000A6D17">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rPr>
                <w:rFonts w:ascii="Arial" w:hAnsi="Arial" w:cs="Arial"/>
                <w:sz w:val="14"/>
                <w:szCs w:val="14"/>
              </w:rPr>
            </w:pPr>
            <w:r>
              <w:rPr>
                <w:rFonts w:ascii="Arial" w:hAnsi="Arial" w:cs="Arial"/>
                <w:sz w:val="14"/>
                <w:szCs w:val="14"/>
              </w:rPr>
              <w:t>Office Products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75.9%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91.1%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0.3%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25.3%</w:t>
            </w:r>
          </w:p>
        </w:tc>
        <w:tc>
          <w:tcPr>
            <w:tcW w:w="2127" w:type="dxa"/>
            <w:tcBorders>
              <w:top w:val="nil"/>
              <w:left w:val="nil"/>
              <w:bottom w:val="single" w:sz="8" w:space="0" w:color="auto"/>
              <w:right w:val="single" w:sz="8" w:space="0" w:color="auto"/>
            </w:tcBorders>
            <w:shd w:val="clear" w:color="auto" w:fill="FFFFFF"/>
            <w:hideMark/>
          </w:tcPr>
          <w:p w:rsidR="000A6D17" w:rsidRDefault="000A6D17">
            <w:pPr>
              <w:spacing w:line="276" w:lineRule="auto"/>
              <w:jc w:val="center"/>
              <w:rPr>
                <w:rFonts w:ascii="Arial" w:hAnsi="Arial" w:cs="Arial"/>
                <w:sz w:val="14"/>
                <w:szCs w:val="14"/>
              </w:rPr>
            </w:pPr>
            <w:r>
              <w:rPr>
                <w:rFonts w:ascii="Arial" w:hAnsi="Arial" w:cs="Arial"/>
                <w:sz w:val="14"/>
                <w:szCs w:val="14"/>
              </w:rPr>
              <w:t>$ 7523.56</w:t>
            </w:r>
          </w:p>
        </w:tc>
      </w:tr>
      <w:tr w:rsidR="000A6D17" w:rsidTr="000A6D17">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rPr>
                <w:rFonts w:ascii="Arial" w:hAnsi="Arial" w:cs="Arial"/>
                <w:sz w:val="14"/>
                <w:szCs w:val="14"/>
              </w:rPr>
            </w:pPr>
            <w:r>
              <w:rPr>
                <w:rFonts w:ascii="Arial" w:hAnsi="Arial" w:cs="Arial"/>
                <w:sz w:val="14"/>
                <w:szCs w:val="14"/>
              </w:rPr>
              <w:t>Paper</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97.4%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74.4%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10.7%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6D17" w:rsidRDefault="000A6D17">
            <w:pPr>
              <w:spacing w:line="276" w:lineRule="auto"/>
              <w:jc w:val="center"/>
              <w:rPr>
                <w:rFonts w:ascii="Arial" w:hAnsi="Arial" w:cs="Arial"/>
                <w:sz w:val="14"/>
                <w:szCs w:val="14"/>
              </w:rPr>
            </w:pPr>
            <w:r>
              <w:rPr>
                <w:rFonts w:ascii="Arial" w:hAnsi="Arial" w:cs="Arial"/>
                <w:sz w:val="14"/>
                <w:szCs w:val="14"/>
              </w:rPr>
              <w:t>38.4%</w:t>
            </w:r>
          </w:p>
        </w:tc>
        <w:tc>
          <w:tcPr>
            <w:tcW w:w="2127" w:type="dxa"/>
            <w:tcBorders>
              <w:top w:val="nil"/>
              <w:left w:val="nil"/>
              <w:bottom w:val="single" w:sz="8" w:space="0" w:color="auto"/>
              <w:right w:val="single" w:sz="8" w:space="0" w:color="auto"/>
            </w:tcBorders>
            <w:shd w:val="clear" w:color="auto" w:fill="FFFFFF"/>
            <w:hideMark/>
          </w:tcPr>
          <w:p w:rsidR="000A6D17" w:rsidRDefault="000A6D17">
            <w:pPr>
              <w:spacing w:line="276" w:lineRule="auto"/>
              <w:jc w:val="center"/>
              <w:rPr>
                <w:rFonts w:ascii="Arial" w:hAnsi="Arial" w:cs="Arial"/>
                <w:sz w:val="14"/>
                <w:szCs w:val="14"/>
              </w:rPr>
            </w:pPr>
            <w:r>
              <w:rPr>
                <w:rFonts w:ascii="Arial" w:hAnsi="Arial" w:cs="Arial"/>
                <w:sz w:val="14"/>
                <w:szCs w:val="14"/>
              </w:rPr>
              <w:t>$ 7768.99</w:t>
            </w:r>
          </w:p>
        </w:tc>
      </w:tr>
    </w:tbl>
    <w:p w:rsidR="000A6D17" w:rsidRDefault="000A6D17" w:rsidP="000A6D17"/>
    <w:p w:rsidR="000A6D17" w:rsidRDefault="000A6D17" w:rsidP="000A6D17">
      <w:r>
        <w:t xml:space="preserve">In addition, our business analyst informs me that for your tab named “Items More than $100” the comparison gaps are primarily furniture. This is because it is difficult to do an “apples to apples” comparison because of how they are inventoried/sku’d. We are confident, however, that for these and all other items (where no exact match is present) – OECM will be highly competitive and In line with identified savings %’s above. Using this approach – we </w:t>
      </w:r>
      <w:r>
        <w:rPr>
          <w:b/>
          <w:bCs/>
        </w:rPr>
        <w:t>estimate an overall</w:t>
      </w:r>
      <w:r>
        <w:t xml:space="preserve"> </w:t>
      </w:r>
      <w:r>
        <w:rPr>
          <w:b/>
          <w:bCs/>
        </w:rPr>
        <w:t xml:space="preserve">27% savings on an annual basis for Office Products and Paper </w:t>
      </w:r>
      <w:r>
        <w:t xml:space="preserve">over what you pay today. Of course, you will also benefit for the ongoing service and support provided by OECM to ensure your 100% customer satisfaction. </w:t>
      </w:r>
    </w:p>
    <w:p w:rsidR="000A6D17" w:rsidRDefault="000A6D17" w:rsidP="000A6D17"/>
    <w:p w:rsidR="000A6D17" w:rsidRDefault="000A6D17" w:rsidP="000A6D17">
      <w:pPr>
        <w:rPr>
          <w:b/>
          <w:bCs/>
          <w:u w:val="single"/>
        </w:rPr>
      </w:pPr>
      <w:r>
        <w:t xml:space="preserve">To continue the momentum we have built here I’d like to propose the following </w:t>
      </w:r>
      <w:r>
        <w:rPr>
          <w:u w:val="single"/>
        </w:rPr>
        <w:t>Next steps</w:t>
      </w:r>
      <w:r>
        <w:t>:</w:t>
      </w:r>
    </w:p>
    <w:p w:rsidR="000A6D17" w:rsidRDefault="000A6D17" w:rsidP="000A6D17"/>
    <w:p w:rsidR="000A6D17" w:rsidRDefault="000A6D17" w:rsidP="000A6D17">
      <w:pPr>
        <w:pStyle w:val="ListParagraph"/>
        <w:numPr>
          <w:ilvl w:val="0"/>
          <w:numId w:val="1"/>
        </w:numPr>
      </w:pPr>
      <w:r>
        <w:t>Please review our findings to validate our analysis. I have attached the spreadsheet analysis for your review. Let me know if you’re ok with these results.</w:t>
      </w:r>
    </w:p>
    <w:p w:rsidR="000A6D17" w:rsidRDefault="000A6D17" w:rsidP="000A6D17">
      <w:pPr>
        <w:pStyle w:val="ListParagraph"/>
        <w:numPr>
          <w:ilvl w:val="0"/>
          <w:numId w:val="1"/>
        </w:numPr>
      </w:pPr>
      <w:r>
        <w:t>OECM to inform Flavian and Terry (OECM’s CEO) of the good news since they were such strong supporters of this review.</w:t>
      </w:r>
    </w:p>
    <w:p w:rsidR="000A6D17" w:rsidRDefault="000A6D17" w:rsidP="000A6D17">
      <w:pPr>
        <w:pStyle w:val="ListParagraph"/>
        <w:numPr>
          <w:ilvl w:val="0"/>
          <w:numId w:val="1"/>
        </w:numPr>
      </w:pPr>
      <w:r>
        <w:t>If you agree, I would like them to have OECM’s Business Relationship manager responsible for Office Supplies – Glenda Schmidt - work with you to support the signing of the necessary CSA’s with Staples to get you on your way to great savings with OECM!</w:t>
      </w:r>
    </w:p>
    <w:p w:rsidR="000A6D17" w:rsidRDefault="000A6D17" w:rsidP="000A6D17">
      <w:pPr>
        <w:pStyle w:val="ListParagraph"/>
        <w:numPr>
          <w:ilvl w:val="0"/>
          <w:numId w:val="1"/>
        </w:numPr>
      </w:pPr>
      <w:r>
        <w:t>Continue to collaborate to review other potential opportunities for CL Toronto with OECM supplier partners. We would be pleased to support you to perform any other analysis you may require.</w:t>
      </w:r>
    </w:p>
    <w:p w:rsidR="000A6D17" w:rsidRDefault="000A6D17" w:rsidP="000A6D17"/>
    <w:p w:rsidR="000A6D17" w:rsidRDefault="000A6D17" w:rsidP="000A6D17">
      <w:r>
        <w:t>Again Cathy – thank you for all your efforts. We are excited by these promising results and look forward to hearing from you in the days ahead.</w:t>
      </w:r>
    </w:p>
    <w:p w:rsidR="000A6D17" w:rsidRDefault="000A6D17" w:rsidP="000A6D17"/>
    <w:p w:rsidR="000A6D17" w:rsidRDefault="000A6D17" w:rsidP="000A6D17">
      <w:r>
        <w:t>Warm regards,</w:t>
      </w:r>
    </w:p>
    <w:p w:rsidR="000A6D17" w:rsidRDefault="000A6D17" w:rsidP="000A6D17"/>
    <w:p w:rsidR="000A6D17" w:rsidRDefault="000A6D17" w:rsidP="000A6D17">
      <w:r>
        <w:t>John</w:t>
      </w:r>
    </w:p>
    <w:p w:rsidR="000A6D17" w:rsidRDefault="000A6D17" w:rsidP="000A6D17"/>
    <w:p w:rsidR="000A6D17" w:rsidRDefault="000A6D17" w:rsidP="000A6D17">
      <w:pPr>
        <w:rPr>
          <w:rFonts w:ascii="Arial" w:hAnsi="Arial" w:cs="Arial"/>
          <w:sz w:val="20"/>
          <w:szCs w:val="20"/>
          <w:lang w:eastAsia="en-CA"/>
        </w:rPr>
      </w:pPr>
      <w:r>
        <w:rPr>
          <w:rFonts w:ascii="Arial" w:hAnsi="Arial" w:cs="Arial"/>
          <w:sz w:val="20"/>
          <w:szCs w:val="20"/>
          <w:lang w:eastAsia="en-CA"/>
        </w:rPr>
        <w:t>John Schenk</w:t>
      </w:r>
    </w:p>
    <w:p w:rsidR="000A6D17" w:rsidRDefault="000A6D17" w:rsidP="000A6D17">
      <w:pPr>
        <w:rPr>
          <w:rFonts w:ascii="Arial" w:hAnsi="Arial" w:cs="Arial"/>
          <w:sz w:val="20"/>
          <w:szCs w:val="20"/>
          <w:lang w:eastAsia="en-CA"/>
        </w:rPr>
      </w:pPr>
      <w:r>
        <w:rPr>
          <w:rFonts w:ascii="Arial" w:hAnsi="Arial" w:cs="Arial"/>
          <w:sz w:val="20"/>
          <w:szCs w:val="20"/>
          <w:lang w:eastAsia="en-CA"/>
        </w:rPr>
        <w:t>Business Development Manager</w:t>
      </w:r>
      <w:r>
        <w:rPr>
          <w:rFonts w:ascii="Arial" w:hAnsi="Arial" w:cs="Arial"/>
          <w:sz w:val="20"/>
          <w:szCs w:val="20"/>
          <w:lang w:eastAsia="en-CA"/>
        </w:rPr>
        <w:br/>
        <w:t>OECM</w:t>
      </w:r>
    </w:p>
    <w:p w:rsidR="000A6D17" w:rsidRDefault="000A6D17" w:rsidP="000A6D17">
      <w:pPr>
        <w:rPr>
          <w:rFonts w:ascii="Arial" w:hAnsi="Arial" w:cs="Arial"/>
          <w:sz w:val="20"/>
          <w:szCs w:val="20"/>
          <w:lang w:eastAsia="en-CA"/>
        </w:rPr>
      </w:pPr>
    </w:p>
    <w:sectPr w:rsidR="000A6D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4564F"/>
    <w:multiLevelType w:val="hybridMultilevel"/>
    <w:tmpl w:val="489E5E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17"/>
    <w:rsid w:val="000A6D17"/>
    <w:rsid w:val="003D296A"/>
    <w:rsid w:val="00687825"/>
    <w:rsid w:val="007A7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D17"/>
    <w:rPr>
      <w:color w:val="0000FF"/>
      <w:u w:val="single"/>
    </w:rPr>
  </w:style>
  <w:style w:type="paragraph" w:styleId="ListParagraph">
    <w:name w:val="List Paragraph"/>
    <w:basedOn w:val="Normal"/>
    <w:uiPriority w:val="34"/>
    <w:qFormat/>
    <w:rsid w:val="000A6D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D17"/>
    <w:rPr>
      <w:color w:val="0000FF"/>
      <w:u w:val="single"/>
    </w:rPr>
  </w:style>
  <w:style w:type="paragraph" w:styleId="ListParagraph">
    <w:name w:val="List Paragraph"/>
    <w:basedOn w:val="Normal"/>
    <w:uiPriority w:val="34"/>
    <w:qFormat/>
    <w:rsid w:val="000A6D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4</DocSecurity>
  <Lines>18</Lines>
  <Paragraphs>5</Paragraphs>
  <ScaleCrop>false</ScaleCrop>
  <Company>HP</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 Pinto</dc:creator>
  <cp:lastModifiedBy>Amanda Brown</cp:lastModifiedBy>
  <cp:revision>2</cp:revision>
  <dcterms:created xsi:type="dcterms:W3CDTF">2015-07-30T13:23:00Z</dcterms:created>
  <dcterms:modified xsi:type="dcterms:W3CDTF">2015-07-30T13:23:00Z</dcterms:modified>
</cp:coreProperties>
</file>