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22" w:rsidRDefault="00444A22" w:rsidP="00E33F84">
      <w:pPr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bookmarkEnd w:id="0"/>
      <w:r w:rsidRPr="008F7BB3">
        <w:rPr>
          <w:rFonts w:ascii="Century Gothic" w:hAnsi="Century Gothic"/>
          <w:b/>
          <w:i/>
          <w:sz w:val="28"/>
          <w:szCs w:val="28"/>
        </w:rPr>
        <w:t>O</w:t>
      </w:r>
      <w:r w:rsidR="00D43179" w:rsidRPr="008F7BB3">
        <w:rPr>
          <w:rFonts w:ascii="Century Gothic" w:hAnsi="Century Gothic"/>
          <w:b/>
          <w:i/>
          <w:sz w:val="28"/>
          <w:szCs w:val="28"/>
        </w:rPr>
        <w:t>ASIS</w:t>
      </w:r>
      <w:r w:rsidRPr="008F7BB3">
        <w:rPr>
          <w:rFonts w:ascii="Century Gothic" w:hAnsi="Century Gothic"/>
          <w:b/>
          <w:i/>
          <w:sz w:val="28"/>
          <w:szCs w:val="28"/>
        </w:rPr>
        <w:t xml:space="preserve"> Business Resource Committee</w:t>
      </w:r>
    </w:p>
    <w:p w:rsidR="008F7BB3" w:rsidRPr="008F7BB3" w:rsidRDefault="008F7BB3" w:rsidP="008F7BB3">
      <w:pPr>
        <w:tabs>
          <w:tab w:val="left" w:pos="1440"/>
          <w:tab w:val="right" w:pos="2880"/>
        </w:tabs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ab/>
      </w:r>
    </w:p>
    <w:p w:rsidR="0023797D" w:rsidRPr="0006562B" w:rsidRDefault="008F7BB3" w:rsidP="008F7BB3">
      <w:pPr>
        <w:tabs>
          <w:tab w:val="right" w:pos="2880"/>
        </w:tabs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>Location:       Christian Horizons</w:t>
      </w:r>
      <w:r w:rsidR="00560DD8">
        <w:rPr>
          <w:rFonts w:ascii="Century Gothic" w:hAnsi="Century Gothic"/>
          <w:b/>
          <w:sz w:val="22"/>
          <w:szCs w:val="22"/>
        </w:rPr>
        <w:tab/>
      </w:r>
      <w:r w:rsidR="00560DD8">
        <w:rPr>
          <w:rFonts w:ascii="Century Gothic" w:hAnsi="Century Gothic"/>
          <w:b/>
          <w:sz w:val="22"/>
          <w:szCs w:val="22"/>
        </w:rPr>
        <w:tab/>
      </w:r>
      <w:r w:rsidR="00560DD8">
        <w:rPr>
          <w:rFonts w:ascii="Century Gothic" w:hAnsi="Century Gothic"/>
          <w:b/>
          <w:sz w:val="22"/>
          <w:szCs w:val="22"/>
        </w:rPr>
        <w:tab/>
      </w:r>
      <w:r w:rsidRPr="008F7BB3">
        <w:rPr>
          <w:rFonts w:ascii="Century Gothic" w:hAnsi="Century Gothic"/>
          <w:b/>
          <w:sz w:val="22"/>
          <w:szCs w:val="22"/>
        </w:rPr>
        <w:t xml:space="preserve">Date:   </w:t>
      </w:r>
      <w:r w:rsidR="006368E0">
        <w:rPr>
          <w:rFonts w:ascii="Century Gothic" w:hAnsi="Century Gothic"/>
          <w:b/>
          <w:sz w:val="22"/>
          <w:szCs w:val="22"/>
        </w:rPr>
        <w:t>Friday, September 6, 2013</w:t>
      </w:r>
    </w:p>
    <w:p w:rsidR="0023797D" w:rsidRPr="008F7BB3" w:rsidRDefault="008F7BB3" w:rsidP="008F7BB3">
      <w:pPr>
        <w:ind w:left="720" w:firstLine="720"/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>1</w:t>
      </w:r>
      <w:r w:rsidR="0023797D" w:rsidRPr="008F7BB3">
        <w:rPr>
          <w:rFonts w:ascii="Century Gothic" w:hAnsi="Century Gothic"/>
          <w:b/>
          <w:sz w:val="22"/>
          <w:szCs w:val="22"/>
        </w:rPr>
        <w:t>55 DeerhideCres</w:t>
      </w:r>
      <w:r w:rsidR="00681E76">
        <w:rPr>
          <w:rFonts w:ascii="Century Gothic" w:hAnsi="Century Gothic"/>
          <w:b/>
          <w:sz w:val="22"/>
          <w:szCs w:val="22"/>
        </w:rPr>
        <w:t>.</w:t>
      </w:r>
    </w:p>
    <w:p w:rsidR="0023797D" w:rsidRPr="008F7BB3" w:rsidRDefault="0023797D" w:rsidP="008F7BB3">
      <w:pPr>
        <w:ind w:left="1440"/>
        <w:rPr>
          <w:rFonts w:ascii="Century Gothic" w:hAnsi="Century Gothic"/>
          <w:b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>Toronto, ON  M9M 2Z2</w:t>
      </w:r>
    </w:p>
    <w:p w:rsidR="0023797D" w:rsidRPr="008F7BB3" w:rsidRDefault="0023797D" w:rsidP="008F7BB3">
      <w:pPr>
        <w:ind w:left="720" w:firstLine="720"/>
        <w:rPr>
          <w:rFonts w:ascii="Century Gothic" w:hAnsi="Century Gothic"/>
          <w:sz w:val="22"/>
          <w:szCs w:val="22"/>
        </w:rPr>
      </w:pPr>
      <w:r w:rsidRPr="008F7BB3">
        <w:rPr>
          <w:rFonts w:ascii="Century Gothic" w:hAnsi="Century Gothic"/>
          <w:b/>
          <w:sz w:val="22"/>
          <w:szCs w:val="22"/>
        </w:rPr>
        <w:t>1.416.630.3646</w:t>
      </w:r>
    </w:p>
    <w:p w:rsidR="0023797D" w:rsidRDefault="005D1D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5.5pt" o:hrpct="0" o:hralign="center" o:hr="t">
            <v:imagedata r:id="rId9" o:title="BD15155_"/>
          </v:shape>
        </w:pict>
      </w:r>
    </w:p>
    <w:p w:rsidR="00D32D9E" w:rsidRDefault="00D32D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A123BD" w:rsidRDefault="006368E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10:00</w:t>
      </w:r>
      <w:r w:rsidR="003532DC" w:rsidRPr="00484CA3">
        <w:rPr>
          <w:rFonts w:ascii="Century Gothic" w:hAnsi="Century Gothic"/>
          <w:b/>
          <w:sz w:val="20"/>
          <w:szCs w:val="20"/>
        </w:rPr>
        <w:t xml:space="preserve"> </w:t>
      </w:r>
      <w:r w:rsidR="00444A22" w:rsidRPr="00484CA3">
        <w:rPr>
          <w:rFonts w:ascii="Century Gothic" w:hAnsi="Century Gothic"/>
          <w:b/>
          <w:sz w:val="20"/>
          <w:szCs w:val="20"/>
        </w:rPr>
        <w:t>am</w:t>
      </w:r>
      <w:r w:rsidR="00444A22" w:rsidRPr="00484CA3">
        <w:rPr>
          <w:rFonts w:ascii="Century Gothic" w:hAnsi="Century Gothic"/>
          <w:b/>
          <w:sz w:val="20"/>
          <w:szCs w:val="20"/>
        </w:rPr>
        <w:tab/>
      </w:r>
      <w:r w:rsidR="00095988" w:rsidRPr="00484CA3">
        <w:rPr>
          <w:rFonts w:ascii="Century Gothic" w:hAnsi="Century Gothic"/>
          <w:b/>
          <w:sz w:val="20"/>
          <w:szCs w:val="20"/>
        </w:rPr>
        <w:t>Welcome</w:t>
      </w:r>
    </w:p>
    <w:p w:rsidR="00A123BD" w:rsidRDefault="00A123BD">
      <w:pPr>
        <w:rPr>
          <w:rFonts w:ascii="Century Gothic" w:hAnsi="Century Gothic"/>
          <w:b/>
          <w:sz w:val="20"/>
          <w:szCs w:val="20"/>
        </w:rPr>
      </w:pPr>
    </w:p>
    <w:p w:rsidR="00A123BD" w:rsidRPr="00A123BD" w:rsidRDefault="00A123BD" w:rsidP="00A123BD">
      <w:pPr>
        <w:rPr>
          <w:rFonts w:ascii="Century Gothic" w:hAnsi="Century Gothic"/>
          <w:sz w:val="20"/>
          <w:szCs w:val="20"/>
        </w:rPr>
      </w:pPr>
      <w:r w:rsidRPr="00A123BD">
        <w:rPr>
          <w:rFonts w:ascii="Century Gothic" w:hAnsi="Century Gothic"/>
          <w:sz w:val="20"/>
          <w:szCs w:val="20"/>
        </w:rPr>
        <w:t xml:space="preserve">Attendance:  Linda Karnas, Lu-Ann Cowell, Margaret Patrowicz, Darlene Ryan, </w:t>
      </w:r>
    </w:p>
    <w:p w:rsidR="00A123BD" w:rsidRDefault="00A123BD" w:rsidP="00A123BD">
      <w:pPr>
        <w:rPr>
          <w:rFonts w:ascii="Century Gothic" w:hAnsi="Century Gothic"/>
          <w:sz w:val="20"/>
          <w:szCs w:val="20"/>
        </w:rPr>
      </w:pPr>
      <w:r w:rsidRPr="00A123BD">
        <w:rPr>
          <w:rFonts w:ascii="Century Gothic" w:hAnsi="Century Gothic"/>
          <w:sz w:val="20"/>
          <w:szCs w:val="20"/>
        </w:rPr>
        <w:t xml:space="preserve">Rick VanDerLey, John Bedell, </w:t>
      </w:r>
      <w:r w:rsidR="006368E0">
        <w:rPr>
          <w:rFonts w:ascii="Century Gothic" w:hAnsi="Century Gothic"/>
          <w:sz w:val="20"/>
          <w:szCs w:val="20"/>
        </w:rPr>
        <w:t xml:space="preserve">Flavian Pinto, Angelica McKay, </w:t>
      </w:r>
      <w:r w:rsidRPr="00A123BD">
        <w:rPr>
          <w:rFonts w:ascii="Century Gothic" w:hAnsi="Century Gothic"/>
          <w:sz w:val="20"/>
          <w:szCs w:val="20"/>
        </w:rPr>
        <w:t>Zull Chaggan, Lynn Brandt</w:t>
      </w:r>
      <w:r w:rsidR="006368E0">
        <w:rPr>
          <w:rFonts w:ascii="Century Gothic" w:hAnsi="Century Gothic"/>
          <w:sz w:val="20"/>
          <w:szCs w:val="20"/>
        </w:rPr>
        <w:t>, April Papineau</w:t>
      </w:r>
    </w:p>
    <w:p w:rsidR="006B7233" w:rsidRPr="00A123BD" w:rsidRDefault="006B7233" w:rsidP="00A123BD">
      <w:pPr>
        <w:rPr>
          <w:rFonts w:ascii="Century Gothic" w:hAnsi="Century Gothic"/>
          <w:sz w:val="20"/>
          <w:szCs w:val="20"/>
        </w:rPr>
      </w:pPr>
    </w:p>
    <w:p w:rsidR="00A123BD" w:rsidRPr="00A123BD" w:rsidRDefault="00A123BD" w:rsidP="00A123BD">
      <w:pPr>
        <w:rPr>
          <w:rFonts w:ascii="Century Gothic" w:hAnsi="Century Gothic"/>
          <w:sz w:val="20"/>
          <w:szCs w:val="20"/>
        </w:rPr>
      </w:pPr>
    </w:p>
    <w:p w:rsidR="00A123BD" w:rsidRPr="00A123BD" w:rsidRDefault="00A123BD" w:rsidP="00A123BD">
      <w:pPr>
        <w:rPr>
          <w:rFonts w:ascii="Century Gothic" w:hAnsi="Century Gothic"/>
          <w:sz w:val="20"/>
          <w:szCs w:val="20"/>
        </w:rPr>
      </w:pPr>
      <w:r w:rsidRPr="00A123BD">
        <w:rPr>
          <w:rFonts w:ascii="Century Gothic" w:hAnsi="Century Gothic"/>
          <w:sz w:val="20"/>
          <w:szCs w:val="20"/>
        </w:rPr>
        <w:t>Chair:</w:t>
      </w:r>
      <w:r w:rsidRPr="00A123BD">
        <w:rPr>
          <w:rFonts w:ascii="Century Gothic" w:hAnsi="Century Gothic"/>
          <w:sz w:val="20"/>
          <w:szCs w:val="20"/>
        </w:rPr>
        <w:tab/>
        <w:t>Linda Karnas</w:t>
      </w:r>
    </w:p>
    <w:p w:rsidR="00A123BD" w:rsidRPr="00A123BD" w:rsidRDefault="00A123BD" w:rsidP="00A123BD">
      <w:pPr>
        <w:rPr>
          <w:rFonts w:ascii="Century Gothic" w:hAnsi="Century Gothic"/>
          <w:sz w:val="20"/>
          <w:szCs w:val="20"/>
        </w:rPr>
      </w:pPr>
      <w:r w:rsidRPr="00A123BD">
        <w:rPr>
          <w:rFonts w:ascii="Century Gothic" w:hAnsi="Century Gothic"/>
          <w:sz w:val="20"/>
          <w:szCs w:val="20"/>
        </w:rPr>
        <w:t xml:space="preserve">Note Taker:  </w:t>
      </w:r>
      <w:r w:rsidR="006368E0">
        <w:rPr>
          <w:rFonts w:ascii="Century Gothic" w:hAnsi="Century Gothic"/>
          <w:sz w:val="20"/>
          <w:szCs w:val="20"/>
        </w:rPr>
        <w:t>Lynn Brandt</w:t>
      </w:r>
    </w:p>
    <w:p w:rsidR="00D32D9E" w:rsidRDefault="000959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0F3CAB" w:rsidRDefault="00D32D9E" w:rsidP="00A123B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6368E0" w:rsidRDefault="00432EF2" w:rsidP="003307E6">
      <w:pPr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Approval of agenda</w:t>
      </w:r>
    </w:p>
    <w:p w:rsidR="00432EF2" w:rsidRDefault="00432EF2" w:rsidP="00432EF2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OK</w:t>
      </w:r>
    </w:p>
    <w:p w:rsidR="00432EF2" w:rsidRDefault="00432EF2" w:rsidP="00432EF2">
      <w:pPr>
        <w:rPr>
          <w:rFonts w:ascii="Century Gothic" w:hAnsi="Century Gothic"/>
          <w:sz w:val="20"/>
          <w:szCs w:val="20"/>
        </w:rPr>
      </w:pPr>
    </w:p>
    <w:p w:rsidR="006368E0" w:rsidRDefault="00432EF2" w:rsidP="003307E6">
      <w:pPr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Notes of June, 2013</w:t>
      </w:r>
    </w:p>
    <w:p w:rsidR="003307E6" w:rsidRDefault="003307E6" w:rsidP="003307E6">
      <w:pPr>
        <w:pStyle w:val="ListParagraph"/>
        <w:rPr>
          <w:rFonts w:ascii="Century Gothic" w:hAnsi="Century Gothic"/>
          <w:sz w:val="20"/>
          <w:szCs w:val="20"/>
        </w:rPr>
      </w:pPr>
    </w:p>
    <w:p w:rsidR="006368E0" w:rsidRDefault="00432EF2" w:rsidP="00432EF2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of Items for upcoming DSFG Meeting</w:t>
      </w:r>
    </w:p>
    <w:p w:rsidR="00432EF2" w:rsidRDefault="00432EF2" w:rsidP="00432EF2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Flavian reviewed the agenda items for the September 13</w:t>
      </w:r>
      <w:r w:rsidRPr="00432EF2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Meeting</w:t>
      </w:r>
    </w:p>
    <w:p w:rsidR="00432EF2" w:rsidRDefault="00432EF2" w:rsidP="00432EF2">
      <w:pPr>
        <w:rPr>
          <w:rFonts w:ascii="Century Gothic" w:hAnsi="Century Gothic"/>
          <w:sz w:val="20"/>
          <w:szCs w:val="20"/>
        </w:rPr>
      </w:pPr>
    </w:p>
    <w:p w:rsidR="00432EF2" w:rsidRDefault="00432EF2" w:rsidP="00432EF2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Banking</w:t>
      </w:r>
      <w:r w:rsidRPr="00432EF2">
        <w:rPr>
          <w:rFonts w:ascii="Century Gothic" w:hAnsi="Century Gothic"/>
          <w:sz w:val="20"/>
          <w:szCs w:val="20"/>
        </w:rPr>
        <w:t xml:space="preserve"> </w:t>
      </w:r>
    </w:p>
    <w:p w:rsidR="00432EF2" w:rsidRDefault="00432EF2" w:rsidP="00432EF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Flavian</w:t>
      </w:r>
      <w:r w:rsidR="00785A2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suggested OASIS front all agencies for Banking</w:t>
      </w:r>
      <w:r w:rsidR="00785A21">
        <w:rPr>
          <w:rFonts w:ascii="Century Gothic" w:hAnsi="Century Gothic"/>
          <w:sz w:val="20"/>
          <w:szCs w:val="20"/>
        </w:rPr>
        <w:t xml:space="preserve"> as the TD Banking Toronto was using was not working for different TD branches</w:t>
      </w:r>
    </w:p>
    <w:p w:rsidR="00432EF2" w:rsidRDefault="00432EF2" w:rsidP="00432EF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John said OASIS supports agencies and probably won’t support or endorse </w:t>
      </w:r>
      <w:r w:rsidR="00785A21">
        <w:rPr>
          <w:rFonts w:ascii="Century Gothic" w:hAnsi="Century Gothic"/>
          <w:sz w:val="20"/>
          <w:szCs w:val="20"/>
        </w:rPr>
        <w:t>one product over another – he suggested set up of RFP for banking</w:t>
      </w:r>
    </w:p>
    <w:p w:rsidR="00785A21" w:rsidRDefault="00785A21" w:rsidP="00432EF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Overall discussion from group members regarding different banking procedures</w:t>
      </w:r>
    </w:p>
    <w:p w:rsidR="00785A21" w:rsidRDefault="00785A21" w:rsidP="00432EF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 was decided to discard TD banking for other agencies</w:t>
      </w:r>
    </w:p>
    <w:p w:rsidR="00785A21" w:rsidRDefault="00785A21" w:rsidP="00785A21">
      <w:pPr>
        <w:rPr>
          <w:rFonts w:ascii="Century Gothic" w:hAnsi="Century Gothic"/>
          <w:sz w:val="20"/>
          <w:szCs w:val="20"/>
        </w:rPr>
      </w:pPr>
    </w:p>
    <w:p w:rsidR="00785A21" w:rsidRDefault="00785A21" w:rsidP="00785A21">
      <w:pPr>
        <w:pStyle w:val="ListParagraph"/>
        <w:numPr>
          <w:ilvl w:val="0"/>
          <w:numId w:val="2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 Plan</w:t>
      </w:r>
    </w:p>
    <w:p w:rsidR="00785A21" w:rsidRDefault="00785A21" w:rsidP="00785A21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Flavian reported that it was on track but requires update of Best Practices Policy Options, update of Procurement and Fire Marshalls Act as agencies are receiving orders to com</w:t>
      </w:r>
      <w:r w:rsidRPr="00785A21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l</w:t>
      </w:r>
      <w:r w:rsidRPr="00785A21">
        <w:rPr>
          <w:rFonts w:ascii="Century Gothic" w:hAnsi="Century Gothic"/>
          <w:sz w:val="20"/>
          <w:szCs w:val="20"/>
        </w:rPr>
        <w:t>y after inspections</w:t>
      </w:r>
    </w:p>
    <w:p w:rsidR="00785A21" w:rsidRDefault="00785A21" w:rsidP="00785A21">
      <w:pPr>
        <w:rPr>
          <w:rFonts w:ascii="Century Gothic" w:hAnsi="Century Gothic"/>
          <w:sz w:val="20"/>
          <w:szCs w:val="20"/>
        </w:rPr>
      </w:pPr>
    </w:p>
    <w:p w:rsidR="00785A21" w:rsidRDefault="00785A21" w:rsidP="00C94A30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Projects</w:t>
      </w:r>
    </w:p>
    <w:p w:rsidR="00785A21" w:rsidRDefault="00785A21" w:rsidP="00785A21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ongoing</w:t>
      </w:r>
    </w:p>
    <w:p w:rsidR="00785A21" w:rsidRDefault="00785A21" w:rsidP="00785A21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ongoing</w:t>
      </w:r>
    </w:p>
    <w:p w:rsidR="00785A21" w:rsidRDefault="00785A21" w:rsidP="00785A21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RDSP option – Law Society is on a two year project certering around question of capacity inconsistency between Federal and Provincial laws – John suggested approaching the Law Society to add RDSP to their project – the Committee has not completed the position paper as they are waiting on a legal opinion from lawyers on the committee</w:t>
      </w:r>
    </w:p>
    <w:p w:rsidR="00785A21" w:rsidRDefault="00785A21" w:rsidP="00785A21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Angelica and Flavian will forward to the Law Society</w:t>
      </w:r>
    </w:p>
    <w:p w:rsidR="00785A21" w:rsidRDefault="00785A21" w:rsidP="00785A21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collection of sector information is not complete – the committee will compare information to the Ministry report indicators – John suggested using the Freedom of Information Act for Q4 stats </w:t>
      </w:r>
      <w:r w:rsidR="001D269E">
        <w:rPr>
          <w:rFonts w:ascii="Century Gothic" w:hAnsi="Century Gothic"/>
          <w:sz w:val="20"/>
          <w:szCs w:val="20"/>
        </w:rPr>
        <w:t>– Flavian and John will ask MCSS for information first</w:t>
      </w:r>
    </w:p>
    <w:p w:rsidR="00C94A30" w:rsidRDefault="00C94A30" w:rsidP="00C94A30">
      <w:pPr>
        <w:rPr>
          <w:rFonts w:ascii="Century Gothic" w:hAnsi="Century Gothic"/>
          <w:sz w:val="20"/>
          <w:szCs w:val="20"/>
        </w:rPr>
      </w:pPr>
    </w:p>
    <w:p w:rsidR="00C94A30" w:rsidRDefault="00C94A30" w:rsidP="00C94A30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HOOP – after discussion it was decided to drop the plan</w:t>
      </w:r>
    </w:p>
    <w:p w:rsidR="00C94A30" w:rsidRPr="00C94A30" w:rsidRDefault="00C94A30" w:rsidP="00C94A30">
      <w:pPr>
        <w:pStyle w:val="ListParagraph"/>
        <w:rPr>
          <w:rFonts w:ascii="Century Gothic" w:hAnsi="Century Gothic"/>
          <w:sz w:val="20"/>
          <w:szCs w:val="20"/>
        </w:rPr>
      </w:pPr>
    </w:p>
    <w:p w:rsidR="00C77BB1" w:rsidRDefault="00C77BB1" w:rsidP="00C77BB1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Purchasing – OASIS as lead</w:t>
      </w:r>
    </w:p>
    <w:p w:rsidR="008F430C" w:rsidRDefault="008F430C" w:rsidP="00EF6751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April suggested NFP accounting standards update and feedback – Brian provided comments on July 23 – Flavian will forward the comments</w:t>
      </w:r>
    </w:p>
    <w:p w:rsidR="008F430C" w:rsidRDefault="008F430C" w:rsidP="008F430C">
      <w:pPr>
        <w:ind w:left="720"/>
        <w:rPr>
          <w:rFonts w:ascii="Century Gothic" w:hAnsi="Century Gothic"/>
          <w:sz w:val="20"/>
          <w:szCs w:val="20"/>
        </w:rPr>
      </w:pPr>
    </w:p>
    <w:p w:rsidR="008F430C" w:rsidRDefault="008F430C" w:rsidP="008F430C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MCSS Project – Information</w:t>
      </w:r>
    </w:p>
    <w:p w:rsidR="008F430C" w:rsidRDefault="008F430C" w:rsidP="008F430C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Flavian reported on the meeting with MCSS with some OBRC members</w:t>
      </w:r>
    </w:p>
    <w:p w:rsidR="008F430C" w:rsidRDefault="008F430C" w:rsidP="008F430C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Zull asked that we find a mechanism to validate information and time to implement changes and that we ask MCSS to attend an OASIS meeting to dialogue regarding MCSS upcoming changes in December, 2013</w:t>
      </w:r>
    </w:p>
    <w:p w:rsidR="008F430C" w:rsidRDefault="008F430C" w:rsidP="008F430C">
      <w:pPr>
        <w:rPr>
          <w:rFonts w:ascii="Century Gothic" w:hAnsi="Century Gothic"/>
          <w:sz w:val="20"/>
          <w:szCs w:val="20"/>
        </w:rPr>
      </w:pPr>
    </w:p>
    <w:p w:rsidR="008F430C" w:rsidRDefault="008F430C" w:rsidP="008F430C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Survey</w:t>
      </w:r>
    </w:p>
    <w:p w:rsidR="008F430C" w:rsidRDefault="008F430C" w:rsidP="008F430C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Original date was August 15, 2013 – extended to September 13, 2013 due to timing and summer holidays.  The need to determine proxy rate adjustment to inflation – decided that there were too many variables to compare</w:t>
      </w:r>
    </w:p>
    <w:p w:rsidR="008F430C" w:rsidRDefault="008F430C" w:rsidP="008F430C">
      <w:pPr>
        <w:rPr>
          <w:rFonts w:ascii="Century Gothic" w:hAnsi="Century Gothic"/>
          <w:sz w:val="20"/>
          <w:szCs w:val="20"/>
        </w:rPr>
      </w:pPr>
    </w:p>
    <w:p w:rsidR="008F430C" w:rsidRDefault="008F430C" w:rsidP="008F430C">
      <w:pPr>
        <w:pStyle w:val="ListParagraph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 Database</w:t>
      </w:r>
    </w:p>
    <w:p w:rsidR="00EF6751" w:rsidRDefault="00EF6751" w:rsidP="00EF6751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Flavian provided short summary of discussion with MCSS 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NOC codes were not consistent – MCSS suggested they would consider 1 or 2 for this sector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Item 7 - $1000.00 capitalized items only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Materials vs Services – if combined then charge to Services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Compensated Absences – MCSS said Vacation, Sick and Bereavement only 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WSIB is included in Statutory deductions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Taxes and assessments – MCSS is looking into our concerns – follow up item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Capital leases (vehicles) – MCSS is looking into our concerns – follow up item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Mortgage interest – Flavian is asking for input and will speak to MCSS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Training – MCSS will look into a webinar for budget training</w:t>
      </w:r>
    </w:p>
    <w:p w:rsidR="00EF6751" w:rsidRDefault="00EF6751" w:rsidP="00EF6751">
      <w:pPr>
        <w:pStyle w:val="ListParagraph"/>
        <w:numPr>
          <w:ilvl w:val="0"/>
          <w:numId w:val="3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TPAR – Rick shared his agency format for Non TPAR – decision to wait for the Q4 to see if MCSS package is easier</w:t>
      </w:r>
    </w:p>
    <w:p w:rsidR="00EF6751" w:rsidRDefault="00EF6751" w:rsidP="00EF6751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Zull asked that we find a mechanism to validate info and time to implement the changes and suggested we ask MCSS to attend an OASIS meeting to dialogue regarding MCSS upcoming changes</w:t>
      </w:r>
    </w:p>
    <w:p w:rsidR="00453D04" w:rsidRDefault="00453D04" w:rsidP="00453D04">
      <w:pPr>
        <w:rPr>
          <w:rFonts w:ascii="Century Gothic" w:hAnsi="Century Gothic"/>
          <w:sz w:val="20"/>
          <w:szCs w:val="20"/>
        </w:rPr>
      </w:pPr>
    </w:p>
    <w:p w:rsidR="00453D04" w:rsidRDefault="00453D04" w:rsidP="00453D04">
      <w:pPr>
        <w:rPr>
          <w:rFonts w:ascii="Century Gothic" w:hAnsi="Century Gothic"/>
          <w:sz w:val="20"/>
          <w:szCs w:val="20"/>
        </w:rPr>
      </w:pPr>
    </w:p>
    <w:p w:rsidR="00EC5C74" w:rsidRDefault="00EC5C74" w:rsidP="00651A3A">
      <w:pPr>
        <w:rPr>
          <w:rFonts w:ascii="Century Gothic" w:hAnsi="Century Gothic"/>
          <w:sz w:val="20"/>
          <w:szCs w:val="20"/>
        </w:rPr>
      </w:pPr>
    </w:p>
    <w:p w:rsidR="00EC5C74" w:rsidRDefault="00EC5C74" w:rsidP="00651A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AA4CFE">
        <w:rPr>
          <w:rFonts w:ascii="Century Gothic" w:hAnsi="Century Gothic"/>
          <w:sz w:val="20"/>
          <w:szCs w:val="20"/>
        </w:rPr>
        <w:t xml:space="preserve">ext Meeting </w:t>
      </w:r>
      <w:r w:rsidR="00453D04">
        <w:rPr>
          <w:rFonts w:ascii="Century Gothic" w:hAnsi="Century Gothic"/>
          <w:sz w:val="20"/>
          <w:szCs w:val="20"/>
        </w:rPr>
        <w:t>December 5</w:t>
      </w:r>
      <w:r w:rsidR="00AA4CFE">
        <w:rPr>
          <w:rFonts w:ascii="Century Gothic" w:hAnsi="Century Gothic"/>
          <w:sz w:val="20"/>
          <w:szCs w:val="20"/>
        </w:rPr>
        <w:t>, 2013</w:t>
      </w:r>
    </w:p>
    <w:p w:rsidR="00EC5C74" w:rsidRDefault="00EC5C74" w:rsidP="00651A3A">
      <w:pPr>
        <w:rPr>
          <w:rFonts w:ascii="Century Gothic" w:hAnsi="Century Gothic"/>
          <w:sz w:val="20"/>
          <w:szCs w:val="20"/>
        </w:rPr>
      </w:pPr>
    </w:p>
    <w:p w:rsidR="00EC5C74" w:rsidRDefault="00EC5C74" w:rsidP="00651A3A">
      <w:pPr>
        <w:rPr>
          <w:rFonts w:ascii="Century Gothic" w:hAnsi="Century Gothic"/>
          <w:sz w:val="20"/>
          <w:szCs w:val="20"/>
        </w:rPr>
      </w:pPr>
    </w:p>
    <w:p w:rsidR="00EC5C74" w:rsidRPr="00E33F84" w:rsidRDefault="00EC5C74" w:rsidP="00651A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33F84" w:rsidRDefault="00E33F84" w:rsidP="00651A3A">
      <w:pPr>
        <w:rPr>
          <w:rFonts w:ascii="Century Gothic" w:hAnsi="Century Gothic"/>
          <w:b/>
          <w:sz w:val="20"/>
          <w:szCs w:val="20"/>
        </w:rPr>
      </w:pPr>
    </w:p>
    <w:p w:rsidR="005C1861" w:rsidRDefault="005C1861" w:rsidP="00651A3A">
      <w:pPr>
        <w:rPr>
          <w:rFonts w:ascii="Century Gothic" w:hAnsi="Century Gothic"/>
          <w:b/>
          <w:sz w:val="20"/>
          <w:szCs w:val="20"/>
        </w:rPr>
      </w:pPr>
    </w:p>
    <w:p w:rsidR="004A4685" w:rsidRDefault="004A4685" w:rsidP="00651A3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sectPr w:rsidR="004A4685" w:rsidSect="000B5B39">
      <w:pgSz w:w="12240" w:h="15840"/>
      <w:pgMar w:top="720" w:right="18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63" w:rsidRDefault="00933F63">
      <w:r>
        <w:separator/>
      </w:r>
    </w:p>
  </w:endnote>
  <w:endnote w:type="continuationSeparator" w:id="0">
    <w:p w:rsidR="00933F63" w:rsidRDefault="0093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63" w:rsidRDefault="00933F63">
      <w:r>
        <w:separator/>
      </w:r>
    </w:p>
  </w:footnote>
  <w:footnote w:type="continuationSeparator" w:id="0">
    <w:p w:rsidR="00933F63" w:rsidRDefault="0093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583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92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C06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1221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B43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D41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F01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CB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0F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521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1303A"/>
    <w:multiLevelType w:val="hybridMultilevel"/>
    <w:tmpl w:val="C5B683B0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076F686F"/>
    <w:multiLevelType w:val="hybridMultilevel"/>
    <w:tmpl w:val="94FC260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83E4D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27D2E"/>
    <w:multiLevelType w:val="hybridMultilevel"/>
    <w:tmpl w:val="43C444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18408C"/>
    <w:multiLevelType w:val="hybridMultilevel"/>
    <w:tmpl w:val="1B084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D3A"/>
    <w:multiLevelType w:val="hybridMultilevel"/>
    <w:tmpl w:val="F46090B6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1172B18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05D27"/>
    <w:multiLevelType w:val="hybridMultilevel"/>
    <w:tmpl w:val="CBCABD02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2744380"/>
    <w:multiLevelType w:val="hybridMultilevel"/>
    <w:tmpl w:val="A0BCE600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3BB4E5E"/>
    <w:multiLevelType w:val="hybridMultilevel"/>
    <w:tmpl w:val="7CFC4866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6B75377"/>
    <w:multiLevelType w:val="hybridMultilevel"/>
    <w:tmpl w:val="24622510"/>
    <w:lvl w:ilvl="0" w:tplc="5266ADA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E18B5"/>
    <w:multiLevelType w:val="multilevel"/>
    <w:tmpl w:val="3E1E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246DC7"/>
    <w:multiLevelType w:val="hybridMultilevel"/>
    <w:tmpl w:val="61DC9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83EE6"/>
    <w:multiLevelType w:val="hybridMultilevel"/>
    <w:tmpl w:val="3B3E1610"/>
    <w:lvl w:ilvl="0" w:tplc="6D7CC3C6">
      <w:numFmt w:val="bullet"/>
      <w:lvlText w:val="-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3DF495C"/>
    <w:multiLevelType w:val="hybridMultilevel"/>
    <w:tmpl w:val="895AD022"/>
    <w:lvl w:ilvl="0" w:tplc="5266ADA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62C2BDC"/>
    <w:multiLevelType w:val="hybridMultilevel"/>
    <w:tmpl w:val="5DD0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B2ED4"/>
    <w:multiLevelType w:val="hybridMultilevel"/>
    <w:tmpl w:val="1B8C2DF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6E2A3B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6F1CE2"/>
    <w:multiLevelType w:val="hybridMultilevel"/>
    <w:tmpl w:val="C9AED6BC"/>
    <w:lvl w:ilvl="0" w:tplc="F95AA6D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61A4247F"/>
    <w:multiLevelType w:val="hybridMultilevel"/>
    <w:tmpl w:val="4492ED66"/>
    <w:lvl w:ilvl="0" w:tplc="FE6C3F1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84205D"/>
    <w:multiLevelType w:val="hybridMultilevel"/>
    <w:tmpl w:val="58E49E5C"/>
    <w:lvl w:ilvl="0" w:tplc="B98E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51CF4"/>
    <w:multiLevelType w:val="hybridMultilevel"/>
    <w:tmpl w:val="60E480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F43E16"/>
    <w:multiLevelType w:val="hybridMultilevel"/>
    <w:tmpl w:val="3B349A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972602"/>
    <w:multiLevelType w:val="hybridMultilevel"/>
    <w:tmpl w:val="AEA6B8B4"/>
    <w:lvl w:ilvl="0" w:tplc="5266ADA6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3"/>
  </w:num>
  <w:num w:numId="4">
    <w:abstractNumId w:val="20"/>
  </w:num>
  <w:num w:numId="5">
    <w:abstractNumId w:val="26"/>
  </w:num>
  <w:num w:numId="6">
    <w:abstractNumId w:val="15"/>
  </w:num>
  <w:num w:numId="7">
    <w:abstractNumId w:val="10"/>
  </w:num>
  <w:num w:numId="8">
    <w:abstractNumId w:val="18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8"/>
  </w:num>
  <w:num w:numId="22">
    <w:abstractNumId w:val="23"/>
  </w:num>
  <w:num w:numId="23">
    <w:abstractNumId w:val="16"/>
  </w:num>
  <w:num w:numId="24">
    <w:abstractNumId w:val="30"/>
  </w:num>
  <w:num w:numId="25">
    <w:abstractNumId w:val="12"/>
  </w:num>
  <w:num w:numId="26">
    <w:abstractNumId w:val="27"/>
  </w:num>
  <w:num w:numId="27">
    <w:abstractNumId w:val="25"/>
  </w:num>
  <w:num w:numId="28">
    <w:abstractNumId w:val="31"/>
  </w:num>
  <w:num w:numId="29">
    <w:abstractNumId w:val="32"/>
  </w:num>
  <w:num w:numId="30">
    <w:abstractNumId w:val="14"/>
  </w:num>
  <w:num w:numId="31">
    <w:abstractNumId w:val="13"/>
  </w:num>
  <w:num w:numId="32">
    <w:abstractNumId w:val="11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22"/>
    <w:rsid w:val="000261DA"/>
    <w:rsid w:val="00045E2D"/>
    <w:rsid w:val="000556F5"/>
    <w:rsid w:val="00064EA2"/>
    <w:rsid w:val="0006562B"/>
    <w:rsid w:val="000676E7"/>
    <w:rsid w:val="0008142A"/>
    <w:rsid w:val="00095988"/>
    <w:rsid w:val="000B5B39"/>
    <w:rsid w:val="000D250D"/>
    <w:rsid w:val="000F3CAB"/>
    <w:rsid w:val="000F6C76"/>
    <w:rsid w:val="00111E6B"/>
    <w:rsid w:val="001209AE"/>
    <w:rsid w:val="001451A9"/>
    <w:rsid w:val="00147E1D"/>
    <w:rsid w:val="00162A57"/>
    <w:rsid w:val="00181FD0"/>
    <w:rsid w:val="001835F6"/>
    <w:rsid w:val="001855F2"/>
    <w:rsid w:val="001A0083"/>
    <w:rsid w:val="001A21EF"/>
    <w:rsid w:val="001A788C"/>
    <w:rsid w:val="001C0D19"/>
    <w:rsid w:val="001C1E4B"/>
    <w:rsid w:val="001C2B65"/>
    <w:rsid w:val="001D0513"/>
    <w:rsid w:val="001D269E"/>
    <w:rsid w:val="001F0541"/>
    <w:rsid w:val="001F4E5E"/>
    <w:rsid w:val="001F5CCC"/>
    <w:rsid w:val="002123D5"/>
    <w:rsid w:val="00217189"/>
    <w:rsid w:val="002259C6"/>
    <w:rsid w:val="0023797D"/>
    <w:rsid w:val="002B606A"/>
    <w:rsid w:val="002C1387"/>
    <w:rsid w:val="002C2215"/>
    <w:rsid w:val="002C2F89"/>
    <w:rsid w:val="002D4491"/>
    <w:rsid w:val="002E0F8A"/>
    <w:rsid w:val="003173EE"/>
    <w:rsid w:val="00317A1E"/>
    <w:rsid w:val="003307E6"/>
    <w:rsid w:val="0033723F"/>
    <w:rsid w:val="00342B19"/>
    <w:rsid w:val="00351918"/>
    <w:rsid w:val="003532DC"/>
    <w:rsid w:val="003B2AD4"/>
    <w:rsid w:val="003B7718"/>
    <w:rsid w:val="003C3040"/>
    <w:rsid w:val="003F3ED0"/>
    <w:rsid w:val="003F582D"/>
    <w:rsid w:val="004079ED"/>
    <w:rsid w:val="00413BFF"/>
    <w:rsid w:val="00417207"/>
    <w:rsid w:val="00432327"/>
    <w:rsid w:val="00432EF2"/>
    <w:rsid w:val="00444A22"/>
    <w:rsid w:val="00453D04"/>
    <w:rsid w:val="004806BB"/>
    <w:rsid w:val="00484CA3"/>
    <w:rsid w:val="004A4685"/>
    <w:rsid w:val="004C0F68"/>
    <w:rsid w:val="00500312"/>
    <w:rsid w:val="00510EDD"/>
    <w:rsid w:val="005151D8"/>
    <w:rsid w:val="0054398F"/>
    <w:rsid w:val="00551EA9"/>
    <w:rsid w:val="00560ACF"/>
    <w:rsid w:val="00560DD8"/>
    <w:rsid w:val="005977C9"/>
    <w:rsid w:val="005A07E7"/>
    <w:rsid w:val="005A3483"/>
    <w:rsid w:val="005C1861"/>
    <w:rsid w:val="005D1DD4"/>
    <w:rsid w:val="005E33B7"/>
    <w:rsid w:val="005E61FE"/>
    <w:rsid w:val="00610133"/>
    <w:rsid w:val="0061451C"/>
    <w:rsid w:val="00620689"/>
    <w:rsid w:val="00635322"/>
    <w:rsid w:val="006368E0"/>
    <w:rsid w:val="00651A3A"/>
    <w:rsid w:val="00681E76"/>
    <w:rsid w:val="0068643A"/>
    <w:rsid w:val="006B6B48"/>
    <w:rsid w:val="006B7233"/>
    <w:rsid w:val="006C38C1"/>
    <w:rsid w:val="006E354D"/>
    <w:rsid w:val="006F56A4"/>
    <w:rsid w:val="006F579D"/>
    <w:rsid w:val="0070442C"/>
    <w:rsid w:val="0072092A"/>
    <w:rsid w:val="0073271F"/>
    <w:rsid w:val="00733D02"/>
    <w:rsid w:val="007535E8"/>
    <w:rsid w:val="00756E3E"/>
    <w:rsid w:val="00785A21"/>
    <w:rsid w:val="00786152"/>
    <w:rsid w:val="007913CF"/>
    <w:rsid w:val="00792506"/>
    <w:rsid w:val="007A2A53"/>
    <w:rsid w:val="007B32D6"/>
    <w:rsid w:val="007C42C7"/>
    <w:rsid w:val="007E7EFB"/>
    <w:rsid w:val="007F3884"/>
    <w:rsid w:val="00826750"/>
    <w:rsid w:val="00832A5F"/>
    <w:rsid w:val="00837C02"/>
    <w:rsid w:val="00841A66"/>
    <w:rsid w:val="0085400A"/>
    <w:rsid w:val="00863F32"/>
    <w:rsid w:val="008717B8"/>
    <w:rsid w:val="008B29CF"/>
    <w:rsid w:val="008D3895"/>
    <w:rsid w:val="008E076C"/>
    <w:rsid w:val="008F430C"/>
    <w:rsid w:val="008F4B5F"/>
    <w:rsid w:val="008F5782"/>
    <w:rsid w:val="008F7BB3"/>
    <w:rsid w:val="009216A5"/>
    <w:rsid w:val="009242F0"/>
    <w:rsid w:val="00926336"/>
    <w:rsid w:val="0092749C"/>
    <w:rsid w:val="00933F63"/>
    <w:rsid w:val="009340E0"/>
    <w:rsid w:val="00964CEF"/>
    <w:rsid w:val="009959CC"/>
    <w:rsid w:val="009A34F9"/>
    <w:rsid w:val="009C5020"/>
    <w:rsid w:val="00A056F4"/>
    <w:rsid w:val="00A123BD"/>
    <w:rsid w:val="00A13CD4"/>
    <w:rsid w:val="00A304F8"/>
    <w:rsid w:val="00A40364"/>
    <w:rsid w:val="00A40D6B"/>
    <w:rsid w:val="00A47624"/>
    <w:rsid w:val="00A77F94"/>
    <w:rsid w:val="00A82F8F"/>
    <w:rsid w:val="00A86AB8"/>
    <w:rsid w:val="00A91A8B"/>
    <w:rsid w:val="00A93BC8"/>
    <w:rsid w:val="00AA1415"/>
    <w:rsid w:val="00AA4CFE"/>
    <w:rsid w:val="00AA4F19"/>
    <w:rsid w:val="00AA63C6"/>
    <w:rsid w:val="00AB1402"/>
    <w:rsid w:val="00AD1240"/>
    <w:rsid w:val="00AE3D5C"/>
    <w:rsid w:val="00B048B6"/>
    <w:rsid w:val="00B11DE5"/>
    <w:rsid w:val="00B17A18"/>
    <w:rsid w:val="00B27C2A"/>
    <w:rsid w:val="00B45D50"/>
    <w:rsid w:val="00B61608"/>
    <w:rsid w:val="00BB4C0D"/>
    <w:rsid w:val="00BF26C5"/>
    <w:rsid w:val="00C176BB"/>
    <w:rsid w:val="00C431F0"/>
    <w:rsid w:val="00C46B7A"/>
    <w:rsid w:val="00C57A52"/>
    <w:rsid w:val="00C6146D"/>
    <w:rsid w:val="00C64DDD"/>
    <w:rsid w:val="00C7301F"/>
    <w:rsid w:val="00C77BB1"/>
    <w:rsid w:val="00C85100"/>
    <w:rsid w:val="00C94A30"/>
    <w:rsid w:val="00CF046F"/>
    <w:rsid w:val="00D13707"/>
    <w:rsid w:val="00D32D9E"/>
    <w:rsid w:val="00D43179"/>
    <w:rsid w:val="00D765C0"/>
    <w:rsid w:val="00D96185"/>
    <w:rsid w:val="00DA3A6F"/>
    <w:rsid w:val="00DE6E53"/>
    <w:rsid w:val="00DE739F"/>
    <w:rsid w:val="00E33F84"/>
    <w:rsid w:val="00E363E8"/>
    <w:rsid w:val="00EA2283"/>
    <w:rsid w:val="00EB0804"/>
    <w:rsid w:val="00EB34EF"/>
    <w:rsid w:val="00EC518C"/>
    <w:rsid w:val="00EC5729"/>
    <w:rsid w:val="00EC5C74"/>
    <w:rsid w:val="00EC7475"/>
    <w:rsid w:val="00EF4A7F"/>
    <w:rsid w:val="00EF6751"/>
    <w:rsid w:val="00F20A88"/>
    <w:rsid w:val="00FB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1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1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114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84AB-D478-4516-ADC1-BB8CBA8C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Oasis Business Resource Committee</vt:lpstr>
    </vt:vector>
  </TitlesOfParts>
  <Company>Community Living North Bay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Oasis Business Resource Committee</dc:title>
  <dc:creator>lkarnas</dc:creator>
  <cp:lastModifiedBy>Amanda Brown</cp:lastModifiedBy>
  <cp:revision>2</cp:revision>
  <cp:lastPrinted>2012-02-02T13:25:00Z</cp:lastPrinted>
  <dcterms:created xsi:type="dcterms:W3CDTF">2013-11-07T18:17:00Z</dcterms:created>
  <dcterms:modified xsi:type="dcterms:W3CDTF">2013-11-07T18:17:00Z</dcterms:modified>
</cp:coreProperties>
</file>